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ascii="Times New Roman" w:hAnsi="Times New Roman"/>
          <w:b/>
        </w:rPr>
        <w:t xml:space="preserve">Ketebe Exlibris </w:t>
      </w:r>
      <w:r>
        <w:rPr>
          <w:rFonts w:ascii="Times New Roman" w:hAnsi="Times New Roman"/>
          <w:b/>
        </w:rPr>
        <w:t>dizisi</w:t>
      </w:r>
      <w:r>
        <w:rPr>
          <w:rFonts w:ascii="Times New Roman" w:hAnsi="Times New Roman"/>
          <w:b/>
        </w:rPr>
        <w:t>, Kasım ayında yeni eserlerle okuru selamlıyor</w:t>
      </w:r>
    </w:p>
    <w:p>
      <w:pPr>
        <w:pStyle w:val="Normal"/>
        <w:jc w:val="center"/>
        <w:rPr>
          <w:rFonts w:ascii="Times New Roman" w:hAnsi="Times New Roman"/>
        </w:rPr>
      </w:pPr>
      <w:r>
        <w:rPr>
          <w:rFonts w:ascii="Times New Roman" w:hAnsi="Times New Roman"/>
          <w:b/>
          <w:sz w:val="32"/>
          <w:szCs w:val="32"/>
        </w:rPr>
        <w:t>İki farklı yazar, iki farklı anlatı!</w:t>
      </w:r>
    </w:p>
    <w:p>
      <w:pPr>
        <w:pStyle w:val="Normal"/>
        <w:rPr>
          <w:rFonts w:ascii="Times New Roman" w:hAnsi="Times New Roman"/>
        </w:rPr>
      </w:pPr>
      <w:r>
        <w:rPr>
          <w:rFonts w:ascii="Times New Roman" w:hAnsi="Times New Roman"/>
        </w:rPr>
      </w:r>
    </w:p>
    <w:p>
      <w:pPr>
        <w:pStyle w:val="Normal"/>
        <w:rPr>
          <w:rFonts w:ascii="Times New Roman" w:hAnsi="Times New Roman"/>
          <w:b/>
          <w:b/>
        </w:rPr>
      </w:pPr>
      <w:r>
        <w:rPr>
          <w:rFonts w:ascii="Times New Roman" w:hAnsi="Times New Roman"/>
          <w:b/>
        </w:rPr>
      </w:r>
    </w:p>
    <w:p>
      <w:pPr>
        <w:pStyle w:val="Normal"/>
        <w:rPr>
          <w:rFonts w:ascii="Times New Roman" w:hAnsi="Times New Roman"/>
        </w:rPr>
      </w:pPr>
      <w:r>
        <w:rPr>
          <w:rFonts w:ascii="Times New Roman" w:hAnsi="Times New Roman"/>
          <w:b/>
        </w:rPr>
        <w:t xml:space="preserve">Ketebe Exlibris </w:t>
      </w:r>
      <w:r>
        <w:rPr>
          <w:rFonts w:ascii="Times New Roman" w:hAnsi="Times New Roman"/>
          <w:b/>
        </w:rPr>
        <w:t xml:space="preserve">dizisi </w:t>
      </w:r>
      <w:r>
        <w:rPr>
          <w:rFonts w:ascii="Times New Roman" w:hAnsi="Times New Roman"/>
          <w:b/>
        </w:rPr>
        <w:t xml:space="preserve">okuma ve yazma eylemiyle ilgili farklı yazarların bakış açılarını sunmaya devam ediyor. Seriden çıkan iki yeni eserin ilki Harold Bloom imzasını taşıyan “Nasıl ve Neden Okumalıyız?” diğeri ise Edward Estlin Cummings’in kaleme aldığı “ben: Altı Konferans-Olmayan” adlı eseri. </w:t>
      </w:r>
      <w:r>
        <w:rPr>
          <w:rFonts w:ascii="Times New Roman" w:hAnsi="Times New Roman"/>
          <w:b/>
          <w:i/>
          <w:iCs/>
        </w:rPr>
        <w:t>Nasıl ve Neden Okumalıyız?</w:t>
      </w:r>
      <w:r>
        <w:rPr>
          <w:rFonts w:ascii="Times New Roman" w:hAnsi="Times New Roman"/>
          <w:b/>
          <w:i w:val="false"/>
          <w:iCs w:val="false"/>
        </w:rPr>
        <w:t>,</w:t>
      </w:r>
      <w:r>
        <w:rPr>
          <w:rFonts w:ascii="Times New Roman" w:hAnsi="Times New Roman"/>
          <w:b/>
        </w:rPr>
        <w:t xml:space="preserve"> farklı türlerde önemli eserler veren yazarların izini sürerken, </w:t>
      </w:r>
      <w:r>
        <w:rPr>
          <w:rFonts w:ascii="Times New Roman" w:hAnsi="Times New Roman"/>
          <w:b/>
          <w:i/>
          <w:iCs/>
        </w:rPr>
        <w:t>ben: Altı Konferans-Olmayan</w:t>
      </w:r>
      <w:r>
        <w:rPr>
          <w:rFonts w:ascii="Times New Roman" w:hAnsi="Times New Roman"/>
          <w:b/>
        </w:rPr>
        <w:t xml:space="preserve"> bir şairin otobiyografisini ve düşünce dünyasını şiirler eşliğinde okura sunuyor.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sz w:val="30"/>
          <w:szCs w:val="30"/>
        </w:rPr>
      </w:pPr>
      <w:r>
        <w:rPr>
          <w:rFonts w:ascii="Times New Roman" w:hAnsi="Times New Roman"/>
          <w:b/>
          <w:sz w:val="30"/>
          <w:szCs w:val="30"/>
        </w:rPr>
        <w:t>Nasıl ve Neden Okumalıyız? – Harold Bloom</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1930 yılında New York’ta doğan Harold Bloom, akademik kariyerini edebiyat üzerine kuran isimlerden birisi. 2019 yılında hayata veda eden yazar 89 yıllık ömründe elliyi aşkın kitap yazmıştır. Bloom’un meşhur eserleri arasında </w:t>
      </w:r>
      <w:r>
        <w:rPr>
          <w:rFonts w:ascii="Times New Roman" w:hAnsi="Times New Roman"/>
          <w:i/>
          <w:iCs/>
        </w:rPr>
        <w:t>J’nin Kitabı</w:t>
      </w:r>
      <w:r>
        <w:rPr>
          <w:rFonts w:ascii="Times New Roman" w:hAnsi="Times New Roman"/>
        </w:rPr>
        <w:t xml:space="preserve">, </w:t>
      </w:r>
      <w:r>
        <w:rPr>
          <w:rFonts w:ascii="Times New Roman" w:hAnsi="Times New Roman"/>
          <w:i/>
          <w:iCs/>
        </w:rPr>
        <w:t>Batı Kanonu</w:t>
      </w:r>
      <w:r>
        <w:rPr>
          <w:rFonts w:ascii="Times New Roman" w:hAnsi="Times New Roman"/>
        </w:rPr>
        <w:t xml:space="preserve"> ve </w:t>
      </w:r>
      <w:r>
        <w:rPr>
          <w:rFonts w:ascii="Times New Roman" w:hAnsi="Times New Roman"/>
          <w:i/>
          <w:iCs/>
        </w:rPr>
        <w:t>Shakespeare: İnsanın İcadı</w:t>
      </w:r>
      <w:r>
        <w:rPr>
          <w:rFonts w:ascii="Times New Roman" w:hAnsi="Times New Roman"/>
        </w:rPr>
        <w:t xml:space="preserve"> kitapları yer almaktadır. Amerikan Sanat ve Edebiyat Akademisi tarafından 1999 yılında, eleştiri alanındaki faaliyetlerinden ötürü Altın Madalya ödülüne layık görülen Harold Blomm, “Nasıl ve Neden Okumalıyız?” kitabında birikimlerini ve okuma deneyimlerini hiç sakınmadan okurla paylaşıyor.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Harold Bloom, okuma eyleminin yalnızlıkla ilişkisini şöyle anlatıyor: </w:t>
      </w:r>
      <w:r>
        <w:rPr>
          <w:rFonts w:ascii="Times New Roman" w:hAnsi="Times New Roman"/>
          <w:i/>
        </w:rPr>
        <w:t>“Yalnızlığın sağladığı büyük zevklerden biri de iyi okuyabilmektir. Bu da benim tecrübeme göre en sadra şifa zevklerden biridir. Okuma sizi öteki kılar. Bunu içinizde, arkadaşlarınızda veya arkadaşınız olabileceklerde bu şekilde yapabilir. Hayalden beslenen edebiyat öteki olmaktır ve böylece yalnızlığı da yükseltir. Sadece yeterince insan tanıyamayacağız diye değil, aynı zamanda dostlukların etkiye açık olması, azalmaya veya yok olmaya temayül etmesi, zaman, mekân ve kusurlu sempatilere yenilmesi ve ailevi veya tutkulu hayatın kederleriyle dolması ihtimalinden</w:t>
      </w:r>
      <w:r>
        <w:rPr>
          <w:rFonts w:ascii="Times New Roman" w:hAnsi="Times New Roman"/>
        </w:rPr>
        <w:t xml:space="preserve"> </w:t>
      </w:r>
      <w:r>
        <w:rPr>
          <w:rFonts w:ascii="Times New Roman" w:hAnsi="Times New Roman"/>
          <w:i/>
        </w:rPr>
        <w:t>dolayı da okuruz.”</w:t>
      </w:r>
      <w:r>
        <w:rPr>
          <w:rFonts w:ascii="Times New Roman" w:hAnsi="Times New Roman"/>
        </w:rPr>
        <w:t xml:space="preserve">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i/>
          <w:iCs/>
        </w:rPr>
        <w:t>Nasıl ve Neden Okumalıyız?</w:t>
      </w:r>
      <w:r>
        <w:rPr>
          <w:rFonts w:ascii="Times New Roman" w:hAnsi="Times New Roman"/>
        </w:rPr>
        <w:t xml:space="preserve">, öyküler, şiirler, romanlar ve piyesler başlıklarının altında dünya edebiyatına yön veren yazarları ve Bloom’a göre bu yazarların en iyi eserlerini ele alıyor. Harold Bloom yine de biricik bir eylem olan okumayla ilgili eserin girişinde şu hatırlatmayı yapıyor: </w:t>
      </w:r>
      <w:r>
        <w:rPr>
          <w:rFonts w:ascii="Times New Roman" w:hAnsi="Times New Roman"/>
          <w:i/>
        </w:rPr>
        <w:t xml:space="preserve">“Bu seçki okunacak hususi bir liste olarak görülmemeli, neden okumamız gerektiğini gösteren örnek bir liste olarak değerlendirilmeli. Okuma meselesini başarıyla yürütmek için insan kendi başına okumalıdır. Tam tamına kendini öğrendikten sonra kendi yöntemi dışında daha iyi bir yöntem yoktur.”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Okuma listesi oluşturmak için iyi okurların kapısını çalan ya da okuduğu büyük eserleri önemli bir yazarın gözünden yeniden görmek isteyenler </w:t>
      </w:r>
      <w:r>
        <w:rPr>
          <w:rFonts w:ascii="Times New Roman" w:hAnsi="Times New Roman"/>
          <w:i/>
          <w:iCs/>
        </w:rPr>
        <w:t>Nasıl ve Neden Okumalıyız?</w:t>
      </w:r>
      <w:r>
        <w:rPr>
          <w:rFonts w:ascii="Times New Roman" w:hAnsi="Times New Roman"/>
        </w:rPr>
        <w:t xml:space="preserve"> kitabında çok şey bulacaklar. Büyük eserler arasında gözden kaçan ilişkiyi de ortaya koyan kitap, derin okuma yapmak isteyenler için ideal bir çalışma.</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sz w:val="30"/>
          <w:szCs w:val="30"/>
        </w:rPr>
      </w:pPr>
      <w:r>
        <w:rPr>
          <w:rFonts w:ascii="Times New Roman" w:hAnsi="Times New Roman"/>
          <w:b/>
          <w:sz w:val="30"/>
          <w:szCs w:val="30"/>
        </w:rPr>
        <w:t>b</w:t>
      </w:r>
      <w:r>
        <w:rPr>
          <w:rFonts w:ascii="Times New Roman" w:hAnsi="Times New Roman"/>
          <w:b/>
          <w:sz w:val="30"/>
          <w:szCs w:val="30"/>
        </w:rPr>
        <w:t xml:space="preserve">en: Altı Konferans-Olmayan – Edward Estlin Cummings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Amerikalı şair, ressam, deneme ve oyun yazarı olan Cummings, 20. yüzyılın en önemli Amerikan şairlerinden biri olarak kabul edilir. Yaklaşık 2 bin 900 şiir, iki otobiyografik roman, dört oyun ve birkaç deneme yazmıştır. Modernist serbest biçimli şiirle ilişkilendirilen Cummings’in çalışmalarının çoğunda kendine özgü sözdizimi vardır ve şiirsel ifade için küçük harfli yazımlar kullanmıştır.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Sıradışı bir anlatı olan “ben: Altı Konferans-Olmayan”, yazarın 1952-1953 yılları arasında Charles Eliot Norton Konferansları’nda anlattıklarının bir araya getirildiği bir çalışma. Cummings için bu anlatılar bir öğretme eyleminden ziyade öğrenme biçimi. Altı konferanstan oluşan bu öğrenme çabası yazarın, kendi, ebeveynleri, zamanı algılama biçimi gibi pek çok varoluşsal katmanda ilerlediği bir yolculuk aslında. Bu yolculukta Cummings’e ve anlattıklarına eşlik eden en önemli enstrüman ise şiirler.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Şair olarak hayatında farklı dönemleri etkileyen bu şiirler kitapta önemli bir yer tutuyor. Hem orijinalleri hem de çevirileri verilen şiirler Cummings’in zihnine ve otobiyografisine karşılık geliyor. Şiiri ve şairleri ayrı bir yere koyan Cummings şu cümlelerle muradını anlatıyor: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i/>
        </w:rPr>
        <w:t>“</w:t>
      </w:r>
      <w:r>
        <w:rPr>
          <w:rFonts w:ascii="Times New Roman" w:hAnsi="Times New Roman"/>
          <w:i/>
        </w:rPr>
        <w:t xml:space="preserve">Sözde medeniyetimiz nereye giderse gitsin, var olmama için her türlü ödülün olduğunun ve hiçbir cezanın olmadığının çok iyi farkındayım. Ama eğer hedefiniz şiirse, cezalar, ödüller ve kendi kendinize biçtiğiniz yükümlülükler, görevler ve sorumluluklar ve sonsuzca diğer şeyler hakkında her şeyi unutmalı ve sadece bir tek şeyi hatırlamalısınız: kaderinizi belirleyen ve geleceğinize karar veren sizsiniz -başka kimse değil. Başka hiç kimse sizin için yaşayamaz; siz de başkası için yaşayamazsınız. Sanatçının sorumluluğu vardır; bu da dünyadaki en korkunç sorumluluktur. Alabilirseniz bu sorumluluğu alın ve var olun. Alamazsanız, avunup başkalarının işine bakın ve ölene kadar onu yapın (veya yapmayın).”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Yazarın bir diğer cümlesi de yine onun şiire ve şairlere bakışını ortaya koyar: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i/>
        </w:rPr>
        <w:t>“</w:t>
      </w:r>
      <w:r>
        <w:rPr>
          <w:rFonts w:ascii="Times New Roman" w:hAnsi="Times New Roman"/>
          <w:i/>
        </w:rPr>
        <w:t>Eğer şair herhangi biriyse, şeyleri pek önemsemeyen biridir, kafayı takmış biridir yaratmaya... Kaçınılmaz biçimde fiil ile meşgul olmak şaire paha biçilmez bir avantaj sağlar: yaratıcı olmayanlar, iki kere ikinin dört eder şeklindeki inkâr edilemez gerçekle yetinmek zorundayken, şair karşı konulmaz bir hakikatten zevk alır.”</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iberation Sans">
    <w:altName w:val="Arial"/>
    <w:charset w:val="a2"/>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8"/>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qFormat/>
    <w:rsid w:val="00bd24f9"/>
    <w:rPr/>
  </w:style>
  <w:style w:type="character" w:styleId="AltbilgiChar" w:customStyle="1">
    <w:name w:val="Altbilgi Char"/>
    <w:basedOn w:val="DefaultParagraphFont"/>
    <w:link w:val="Altbilgi"/>
    <w:uiPriority w:val="99"/>
    <w:qFormat/>
    <w:rsid w:val="00bd24f9"/>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Stvealtbilgi">
    <w:name w:val="Üst ve alt bilgi"/>
    <w:basedOn w:val="Normal"/>
    <w:qFormat/>
    <w:pPr/>
    <w:rPr/>
  </w:style>
  <w:style w:type="paragraph" w:styleId="Stbilgi">
    <w:name w:val="Header"/>
    <w:basedOn w:val="Normal"/>
    <w:link w:val="stbilgiChar"/>
    <w:uiPriority w:val="99"/>
    <w:unhideWhenUsed/>
    <w:rsid w:val="00bd24f9"/>
    <w:pPr>
      <w:tabs>
        <w:tab w:val="clear" w:pos="720"/>
        <w:tab w:val="center" w:pos="4536" w:leader="none"/>
        <w:tab w:val="right" w:pos="9072" w:leader="none"/>
      </w:tabs>
    </w:pPr>
    <w:rPr/>
  </w:style>
  <w:style w:type="paragraph" w:styleId="Altbilgi">
    <w:name w:val="Footer"/>
    <w:basedOn w:val="Normal"/>
    <w:link w:val="AltbilgiChar"/>
    <w:uiPriority w:val="99"/>
    <w:unhideWhenUsed/>
    <w:rsid w:val="00bd24f9"/>
    <w:pPr>
      <w:tabs>
        <w:tab w:val="clear" w:pos="720"/>
        <w:tab w:val="center" w:pos="4536" w:leader="none"/>
        <w:tab w:val="right" w:pos="9072" w:leader="none"/>
      </w:tabs>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LibreOffice/7.1.2.2$Windows_X86_64 LibreOffice_project/8a45595d069ef5570103caea1b71cc9d82b2aae4</Application>
  <AppVersion>15.0000</AppVersion>
  <Pages>2</Pages>
  <Words>685</Words>
  <Characters>4439</Characters>
  <CharactersWithSpaces>5115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2021-10-04T19:14:00Z</dcterms:created>
  <dc:creator>arzu</dc:creator>
  <dc:description/>
  <dc:language>tr-TR</dc:language>
  <cp:lastModifiedBy/>
  <dcterms:modified xsi:type="dcterms:W3CDTF">2021-11-10T11:33:36Z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